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6177" w14:textId="4E41E6B0" w:rsidR="00433FE7" w:rsidRPr="00F01253" w:rsidRDefault="00433FE7" w:rsidP="00043B37">
      <w:pPr>
        <w:adjustRightInd w:val="0"/>
        <w:snapToGrid w:val="0"/>
        <w:spacing w:afterLines="200" w:after="624"/>
        <w:ind w:right="-334"/>
        <w:jc w:val="center"/>
        <w:rPr>
          <w:rStyle w:val="fontstyle01"/>
          <w:rFonts w:ascii="Arial" w:hAnsi="Arial" w:cs="Arial"/>
          <w:b/>
          <w:bCs/>
        </w:rPr>
      </w:pPr>
      <w:bookmarkStart w:id="0" w:name="_Hlk101802850"/>
      <w:bookmarkEnd w:id="0"/>
      <w:r w:rsidRPr="00F01253">
        <w:rPr>
          <w:rStyle w:val="fontstyle01"/>
          <w:rFonts w:ascii="Arial" w:hAnsi="Arial" w:cs="Arial"/>
          <w:b/>
          <w:bCs/>
        </w:rPr>
        <w:t>Supplementary Information</w:t>
      </w:r>
      <w:r w:rsidR="00F01253" w:rsidRPr="00F01253">
        <w:rPr>
          <w:rStyle w:val="fontstyle01"/>
          <w:rFonts w:ascii="Arial" w:hAnsi="Arial" w:cs="Arial"/>
          <w:b/>
          <w:bCs/>
        </w:rPr>
        <w:t xml:space="preserve"> for</w:t>
      </w:r>
    </w:p>
    <w:p w14:paraId="0C922431" w14:textId="11C66754" w:rsidR="00433FE7" w:rsidRDefault="00F01253" w:rsidP="00043B37">
      <w:pPr>
        <w:ind w:left="113" w:right="-334" w:hanging="1"/>
        <w:jc w:val="center"/>
        <w:rPr>
          <w:rFonts w:ascii="Arial" w:hAnsi="Arial" w:cs="Arial"/>
          <w:b/>
          <w:bCs/>
          <w:color w:val="000000"/>
          <w:sz w:val="36"/>
          <w:szCs w:val="36"/>
        </w:rPr>
      </w:pPr>
      <w:r w:rsidRPr="00F01253">
        <w:rPr>
          <w:rFonts w:ascii="Arial" w:hAnsi="Arial" w:cs="Arial"/>
          <w:b/>
          <w:bCs/>
          <w:color w:val="000000"/>
          <w:sz w:val="36"/>
          <w:szCs w:val="36"/>
        </w:rPr>
        <w:t xml:space="preserve">Towards </w:t>
      </w:r>
      <w:r w:rsidRPr="00F01253">
        <w:rPr>
          <w:rFonts w:ascii="Arial" w:hAnsi="Arial" w:cs="Arial"/>
          <w:b/>
          <w:bCs/>
          <w:i/>
          <w:iCs/>
          <w:color w:val="000000"/>
          <w:sz w:val="36"/>
          <w:szCs w:val="36"/>
        </w:rPr>
        <w:t>in-situ</w:t>
      </w:r>
      <w:r w:rsidRPr="00F01253">
        <w:rPr>
          <w:rFonts w:ascii="Arial" w:hAnsi="Arial" w:cs="Arial"/>
          <w:b/>
          <w:bCs/>
          <w:color w:val="000000"/>
          <w:sz w:val="36"/>
          <w:szCs w:val="36"/>
        </w:rPr>
        <w:t xml:space="preserve"> diagnostics of multi-photon 3D laser printing </w:t>
      </w:r>
      <w:r w:rsidR="00FA3A00">
        <w:rPr>
          <w:rFonts w:ascii="Arial" w:hAnsi="Arial" w:cs="Arial"/>
          <w:b/>
          <w:bCs/>
          <w:color w:val="000000"/>
          <w:sz w:val="36"/>
          <w:szCs w:val="36"/>
        </w:rPr>
        <w:t>using</w:t>
      </w:r>
      <w:r w:rsidRPr="00F01253">
        <w:rPr>
          <w:rFonts w:ascii="Arial" w:hAnsi="Arial" w:cs="Arial"/>
          <w:b/>
          <w:bCs/>
          <w:color w:val="000000"/>
          <w:sz w:val="36"/>
          <w:szCs w:val="36"/>
        </w:rPr>
        <w:t xml:space="preserve"> optical coherence tomography</w:t>
      </w:r>
    </w:p>
    <w:p w14:paraId="0B6BE364" w14:textId="77777777" w:rsidR="006C4DBE" w:rsidRDefault="006C4DBE" w:rsidP="00043B37">
      <w:pPr>
        <w:ind w:left="113" w:right="-334" w:hanging="1"/>
        <w:jc w:val="center"/>
        <w:rPr>
          <w:rFonts w:ascii="Arial" w:hAnsi="Arial" w:cs="Arial"/>
          <w:b/>
          <w:bCs/>
          <w:color w:val="000000"/>
          <w:sz w:val="36"/>
          <w:szCs w:val="36"/>
        </w:rPr>
      </w:pPr>
    </w:p>
    <w:p w14:paraId="291B2B48" w14:textId="77777777" w:rsidR="00F01253" w:rsidRPr="00F01253" w:rsidRDefault="00F01253" w:rsidP="00043B37">
      <w:pPr>
        <w:ind w:left="113" w:right="-334" w:hanging="1"/>
        <w:jc w:val="center"/>
        <w:rPr>
          <w:rFonts w:ascii="Arial" w:eastAsia="Arial" w:hAnsi="Arial" w:cs="Arial"/>
          <w:spacing w:val="-8"/>
          <w:w w:val="90"/>
        </w:rPr>
      </w:pPr>
    </w:p>
    <w:p w14:paraId="5680953D" w14:textId="4C97F2E5" w:rsidR="00F01253" w:rsidRPr="006C4DBE" w:rsidRDefault="00F01253" w:rsidP="00043B37">
      <w:pPr>
        <w:ind w:right="-334"/>
        <w:rPr>
          <w:rFonts w:ascii="Arial" w:hAnsi="Arial" w:cs="Arial"/>
          <w:color w:val="000000"/>
          <w:sz w:val="24"/>
          <w:szCs w:val="24"/>
        </w:rPr>
      </w:pPr>
      <w:r w:rsidRPr="006C4DBE">
        <w:rPr>
          <w:rFonts w:ascii="Arial" w:hAnsi="Arial" w:cs="Arial"/>
          <w:color w:val="000000"/>
          <w:sz w:val="24"/>
          <w:szCs w:val="24"/>
        </w:rPr>
        <w:t>Roman Zvagelsky</w:t>
      </w:r>
      <w:r w:rsidRPr="006C4DBE">
        <w:rPr>
          <w:rFonts w:ascii="Arial" w:hAnsi="Arial" w:cs="Arial"/>
          <w:color w:val="000000"/>
          <w:sz w:val="24"/>
          <w:szCs w:val="24"/>
          <w:vertAlign w:val="superscript"/>
        </w:rPr>
        <w:t>1</w:t>
      </w:r>
      <w:r w:rsidRPr="006C4DBE">
        <w:rPr>
          <w:rFonts w:ascii="Arial" w:hAnsi="Arial" w:cs="Arial"/>
          <w:color w:val="000000"/>
          <w:sz w:val="24"/>
          <w:szCs w:val="24"/>
        </w:rPr>
        <w:t>, Frederik Mayer</w:t>
      </w:r>
      <w:r w:rsidRPr="006C4DBE">
        <w:rPr>
          <w:rFonts w:ascii="Arial" w:hAnsi="Arial" w:cs="Arial"/>
          <w:color w:val="000000"/>
          <w:sz w:val="24"/>
          <w:szCs w:val="24"/>
          <w:vertAlign w:val="superscript"/>
        </w:rPr>
        <w:t>1</w:t>
      </w:r>
      <w:r w:rsidRPr="006C4DBE">
        <w:rPr>
          <w:rFonts w:ascii="Arial" w:hAnsi="Arial" w:cs="Arial"/>
          <w:color w:val="000000"/>
          <w:sz w:val="24"/>
          <w:szCs w:val="24"/>
        </w:rPr>
        <w:t>, Dominik Beutel</w:t>
      </w:r>
      <w:r w:rsidRPr="006C4DBE">
        <w:rPr>
          <w:rFonts w:ascii="Arial" w:hAnsi="Arial" w:cs="Arial"/>
          <w:color w:val="000000"/>
          <w:sz w:val="24"/>
          <w:szCs w:val="24"/>
          <w:vertAlign w:val="superscript"/>
        </w:rPr>
        <w:t>2</w:t>
      </w:r>
      <w:r w:rsidRPr="006C4DBE">
        <w:rPr>
          <w:rFonts w:ascii="Arial" w:hAnsi="Arial" w:cs="Arial"/>
          <w:color w:val="000000"/>
          <w:sz w:val="24"/>
          <w:szCs w:val="24"/>
        </w:rPr>
        <w:t>, Carsten Rockstuhl</w:t>
      </w:r>
      <w:r w:rsidRPr="006C4DBE">
        <w:rPr>
          <w:rFonts w:ascii="Arial" w:hAnsi="Arial" w:cs="Arial"/>
          <w:color w:val="000000"/>
          <w:sz w:val="24"/>
          <w:szCs w:val="24"/>
          <w:vertAlign w:val="superscript"/>
        </w:rPr>
        <w:t>2,3</w:t>
      </w:r>
      <w:r w:rsidRPr="006C4DBE">
        <w:rPr>
          <w:rFonts w:ascii="Arial" w:hAnsi="Arial" w:cs="Arial"/>
          <w:color w:val="000000"/>
          <w:sz w:val="24"/>
          <w:szCs w:val="24"/>
        </w:rPr>
        <w:t>, Guillaume Gomard</w:t>
      </w:r>
      <w:r w:rsidRPr="006C4DBE">
        <w:rPr>
          <w:rFonts w:ascii="Arial" w:hAnsi="Arial" w:cs="Arial"/>
          <w:color w:val="000000"/>
          <w:sz w:val="24"/>
          <w:szCs w:val="24"/>
          <w:vertAlign w:val="superscript"/>
        </w:rPr>
        <w:t>4</w:t>
      </w:r>
      <w:r w:rsidRPr="006C4DBE">
        <w:rPr>
          <w:rFonts w:ascii="Arial" w:hAnsi="Arial" w:cs="Arial"/>
          <w:color w:val="000000"/>
          <w:sz w:val="24"/>
          <w:szCs w:val="24"/>
        </w:rPr>
        <w:t>, and Martin Wegener</w:t>
      </w:r>
      <w:r w:rsidRPr="006C4DBE">
        <w:rPr>
          <w:rFonts w:ascii="Arial" w:hAnsi="Arial" w:cs="Arial"/>
          <w:color w:val="000000"/>
          <w:sz w:val="24"/>
          <w:szCs w:val="24"/>
          <w:vertAlign w:val="superscript"/>
        </w:rPr>
        <w:t>1,3,*</w:t>
      </w:r>
    </w:p>
    <w:p w14:paraId="77BE3ABE" w14:textId="77777777" w:rsidR="00F01253" w:rsidRPr="006C4DBE" w:rsidRDefault="00F01253" w:rsidP="00043B37">
      <w:pPr>
        <w:ind w:right="-334"/>
        <w:rPr>
          <w:rFonts w:ascii="Arial" w:hAnsi="Arial" w:cs="Arial"/>
          <w:color w:val="000000"/>
          <w:sz w:val="24"/>
          <w:szCs w:val="24"/>
        </w:rPr>
      </w:pPr>
    </w:p>
    <w:p w14:paraId="4A3517DE" w14:textId="71E184CD" w:rsidR="006C4DBE" w:rsidRPr="006C4DBE" w:rsidRDefault="00F01253" w:rsidP="00043B37">
      <w:pPr>
        <w:ind w:right="-334"/>
        <w:rPr>
          <w:rFonts w:ascii="Arial" w:hAnsi="Arial" w:cs="Arial"/>
          <w:color w:val="000000"/>
          <w:sz w:val="24"/>
          <w:szCs w:val="24"/>
        </w:rPr>
      </w:pPr>
      <w:r w:rsidRPr="006C4DBE">
        <w:rPr>
          <w:rFonts w:ascii="Arial" w:hAnsi="Arial" w:cs="Arial"/>
          <w:color w:val="000000"/>
          <w:sz w:val="24"/>
          <w:szCs w:val="24"/>
          <w:vertAlign w:val="superscript"/>
        </w:rPr>
        <w:t>1</w:t>
      </w:r>
      <w:r w:rsidR="006C4DBE" w:rsidRPr="006C4DBE">
        <w:rPr>
          <w:rFonts w:ascii="Arial" w:hAnsi="Arial" w:cs="Arial"/>
          <w:color w:val="000000"/>
          <w:sz w:val="24"/>
          <w:szCs w:val="24"/>
        </w:rPr>
        <w:t xml:space="preserve"> </w:t>
      </w:r>
      <w:r w:rsidRPr="006C4DBE">
        <w:rPr>
          <w:rFonts w:ascii="Arial" w:hAnsi="Arial" w:cs="Arial"/>
          <w:color w:val="000000"/>
          <w:sz w:val="24"/>
          <w:szCs w:val="24"/>
        </w:rPr>
        <w:t>Institute of Applied Physics (APH), Karlsruhe Institute of Technology (KIT), 76131 Karlsruhe, Germany.</w:t>
      </w:r>
    </w:p>
    <w:p w14:paraId="6DD7F1D0" w14:textId="12D84984" w:rsidR="00F01253" w:rsidRPr="006C4DBE" w:rsidRDefault="00F01253" w:rsidP="00043B37">
      <w:pPr>
        <w:ind w:right="-334"/>
        <w:rPr>
          <w:rFonts w:ascii="Arial" w:hAnsi="Arial" w:cs="Arial"/>
          <w:color w:val="000000"/>
          <w:sz w:val="24"/>
          <w:szCs w:val="24"/>
        </w:rPr>
      </w:pPr>
      <w:r w:rsidRPr="006C4DBE">
        <w:rPr>
          <w:rFonts w:ascii="Arial" w:hAnsi="Arial" w:cs="Arial"/>
          <w:color w:val="000000"/>
          <w:sz w:val="24"/>
          <w:szCs w:val="24"/>
          <w:vertAlign w:val="superscript"/>
        </w:rPr>
        <w:t>2</w:t>
      </w:r>
      <w:r w:rsidR="006C4DBE" w:rsidRPr="006C4DBE">
        <w:rPr>
          <w:rFonts w:ascii="Arial" w:hAnsi="Arial" w:cs="Arial"/>
          <w:color w:val="000000"/>
          <w:sz w:val="24"/>
          <w:szCs w:val="24"/>
        </w:rPr>
        <w:t xml:space="preserve"> </w:t>
      </w:r>
      <w:r w:rsidRPr="006C4DBE">
        <w:rPr>
          <w:rFonts w:ascii="Arial" w:hAnsi="Arial" w:cs="Arial"/>
          <w:color w:val="000000"/>
          <w:sz w:val="24"/>
          <w:szCs w:val="24"/>
        </w:rPr>
        <w:t>Institute for Theoretical Solid State Physics (TFP), Karlsruhe Institute of Technology (KIT), 76131 Karlsruhe,</w:t>
      </w:r>
      <w:r w:rsidR="006C4DBE">
        <w:rPr>
          <w:rFonts w:ascii="Arial" w:hAnsi="Arial" w:cs="Arial"/>
          <w:color w:val="000000"/>
          <w:sz w:val="24"/>
          <w:szCs w:val="24"/>
        </w:rPr>
        <w:t xml:space="preserve"> </w:t>
      </w:r>
      <w:r w:rsidRPr="006C4DBE">
        <w:rPr>
          <w:rFonts w:ascii="Arial" w:hAnsi="Arial" w:cs="Arial"/>
          <w:color w:val="000000"/>
          <w:sz w:val="24"/>
          <w:szCs w:val="24"/>
        </w:rPr>
        <w:t>Germany.</w:t>
      </w:r>
    </w:p>
    <w:p w14:paraId="00BE03A6" w14:textId="0C5DD48E" w:rsidR="00F01253" w:rsidRPr="006C4DBE" w:rsidRDefault="00F01253" w:rsidP="00043B37">
      <w:pPr>
        <w:ind w:right="-334"/>
        <w:rPr>
          <w:rFonts w:ascii="Arial" w:hAnsi="Arial" w:cs="Arial"/>
          <w:color w:val="000000"/>
          <w:sz w:val="24"/>
          <w:szCs w:val="24"/>
        </w:rPr>
      </w:pPr>
      <w:r w:rsidRPr="006C4DBE">
        <w:rPr>
          <w:rFonts w:ascii="Arial" w:hAnsi="Arial" w:cs="Arial"/>
          <w:color w:val="000000"/>
          <w:sz w:val="24"/>
          <w:szCs w:val="24"/>
          <w:vertAlign w:val="superscript"/>
        </w:rPr>
        <w:t>3</w:t>
      </w:r>
      <w:r w:rsidR="006C4DBE" w:rsidRPr="006C4DBE">
        <w:rPr>
          <w:rFonts w:ascii="Arial" w:hAnsi="Arial" w:cs="Arial"/>
          <w:color w:val="000000"/>
          <w:sz w:val="24"/>
          <w:szCs w:val="24"/>
          <w:vertAlign w:val="superscript"/>
        </w:rPr>
        <w:t xml:space="preserve"> </w:t>
      </w:r>
      <w:r w:rsidRPr="006C4DBE">
        <w:rPr>
          <w:rFonts w:ascii="Arial" w:hAnsi="Arial" w:cs="Arial"/>
          <w:color w:val="000000"/>
          <w:sz w:val="24"/>
          <w:szCs w:val="24"/>
        </w:rPr>
        <w:t>Institute of Nanotechnology (INT), Karlsruhe Institute of Technology (KIT), 76344 Eggenstein-Leopoldshafen,</w:t>
      </w:r>
      <w:r w:rsidR="006C4DBE">
        <w:rPr>
          <w:rFonts w:ascii="Arial" w:hAnsi="Arial" w:cs="Arial"/>
          <w:color w:val="000000"/>
          <w:sz w:val="24"/>
          <w:szCs w:val="24"/>
        </w:rPr>
        <w:t xml:space="preserve"> </w:t>
      </w:r>
      <w:r w:rsidRPr="006C4DBE">
        <w:rPr>
          <w:rFonts w:ascii="Arial" w:hAnsi="Arial" w:cs="Arial"/>
          <w:color w:val="000000"/>
          <w:sz w:val="24"/>
          <w:szCs w:val="24"/>
        </w:rPr>
        <w:t>Germany.</w:t>
      </w:r>
    </w:p>
    <w:p w14:paraId="27551D75" w14:textId="27380D3D" w:rsidR="00F01253" w:rsidRPr="006C4DBE" w:rsidRDefault="00F01253" w:rsidP="00043B37">
      <w:pPr>
        <w:ind w:right="-334"/>
        <w:rPr>
          <w:rFonts w:ascii="Arial" w:hAnsi="Arial" w:cs="Arial"/>
          <w:color w:val="000000"/>
          <w:sz w:val="24"/>
          <w:szCs w:val="24"/>
          <w:lang w:val="de-DE"/>
        </w:rPr>
      </w:pPr>
      <w:r w:rsidRPr="006C4DBE">
        <w:rPr>
          <w:rFonts w:ascii="Arial" w:hAnsi="Arial" w:cs="Arial"/>
          <w:color w:val="000000"/>
          <w:sz w:val="24"/>
          <w:szCs w:val="24"/>
          <w:vertAlign w:val="superscript"/>
          <w:lang w:val="de-DE"/>
        </w:rPr>
        <w:t>4</w:t>
      </w:r>
      <w:r w:rsidR="006C4DBE" w:rsidRPr="006C4DBE">
        <w:rPr>
          <w:rFonts w:ascii="Arial" w:hAnsi="Arial" w:cs="Arial"/>
          <w:color w:val="000000"/>
          <w:sz w:val="24"/>
          <w:szCs w:val="24"/>
          <w:lang w:val="de-DE"/>
        </w:rPr>
        <w:t xml:space="preserve"> </w:t>
      </w:r>
      <w:r w:rsidRPr="006C4DBE">
        <w:rPr>
          <w:rFonts w:ascii="Arial" w:hAnsi="Arial" w:cs="Arial"/>
          <w:color w:val="000000"/>
          <w:sz w:val="24"/>
          <w:szCs w:val="24"/>
          <w:lang w:val="de-DE"/>
        </w:rPr>
        <w:t>Carl Zeiss AG, Zeiss Innovation Hub, Hermann-von-Helmholtz-Platz 6, 76344 Eggenstein-Leopoldshafen,</w:t>
      </w:r>
      <w:r w:rsidR="006C4DBE">
        <w:rPr>
          <w:rFonts w:ascii="Arial" w:hAnsi="Arial" w:cs="Arial"/>
          <w:color w:val="000000"/>
          <w:sz w:val="24"/>
          <w:szCs w:val="24"/>
          <w:lang w:val="de-DE"/>
        </w:rPr>
        <w:t xml:space="preserve"> </w:t>
      </w:r>
      <w:r w:rsidRPr="006C4DBE">
        <w:rPr>
          <w:rFonts w:ascii="Arial" w:hAnsi="Arial" w:cs="Arial"/>
          <w:color w:val="000000"/>
          <w:sz w:val="24"/>
          <w:szCs w:val="24"/>
          <w:lang w:val="de-DE"/>
        </w:rPr>
        <w:t>Germany.</w:t>
      </w:r>
    </w:p>
    <w:p w14:paraId="640C6D2C" w14:textId="77777777" w:rsidR="006C4DBE" w:rsidRPr="006C4DBE" w:rsidRDefault="006C4DBE" w:rsidP="00043B37">
      <w:pPr>
        <w:ind w:right="-334"/>
        <w:rPr>
          <w:rFonts w:ascii="Arial" w:hAnsi="Arial" w:cs="Arial"/>
          <w:color w:val="000000"/>
          <w:sz w:val="24"/>
          <w:szCs w:val="24"/>
          <w:lang w:val="de-DE"/>
        </w:rPr>
      </w:pPr>
    </w:p>
    <w:p w14:paraId="38521B49" w14:textId="190937EE" w:rsidR="000D08E5" w:rsidRDefault="006C4DBE" w:rsidP="00043B37">
      <w:pPr>
        <w:ind w:right="-334"/>
        <w:rPr>
          <w:rFonts w:ascii="Arial" w:hAnsi="Arial" w:cs="Arial"/>
          <w:color w:val="000000"/>
          <w:sz w:val="24"/>
          <w:szCs w:val="24"/>
        </w:rPr>
      </w:pPr>
      <w:r w:rsidRPr="006C4DBE">
        <w:rPr>
          <w:rFonts w:ascii="Arial" w:hAnsi="Arial" w:cs="Arial"/>
          <w:color w:val="000000"/>
          <w:sz w:val="24"/>
          <w:szCs w:val="24"/>
          <w:vertAlign w:val="superscript"/>
        </w:rPr>
        <w:t>*</w:t>
      </w:r>
      <w:r w:rsidRPr="006C4DBE">
        <w:rPr>
          <w:rFonts w:ascii="Arial" w:hAnsi="Arial" w:cs="Arial"/>
          <w:color w:val="000000"/>
          <w:sz w:val="24"/>
          <w:szCs w:val="24"/>
        </w:rPr>
        <w:t xml:space="preserve"> </w:t>
      </w:r>
      <w:r w:rsidR="00F01253" w:rsidRPr="006C4DBE">
        <w:rPr>
          <w:rFonts w:ascii="Arial" w:hAnsi="Arial" w:cs="Arial"/>
          <w:color w:val="000000"/>
          <w:sz w:val="24"/>
          <w:szCs w:val="24"/>
        </w:rPr>
        <w:t xml:space="preserve">Correspondence to Martin Wegener: </w:t>
      </w:r>
      <w:hyperlink r:id="rId8" w:history="1">
        <w:r w:rsidRPr="00E412BF">
          <w:rPr>
            <w:rStyle w:val="Hyperlink"/>
            <w:rFonts w:ascii="Arial" w:hAnsi="Arial" w:cs="Arial"/>
            <w:sz w:val="24"/>
            <w:szCs w:val="24"/>
          </w:rPr>
          <w:t>martin.wegener@kit.edu</w:t>
        </w:r>
      </w:hyperlink>
    </w:p>
    <w:p w14:paraId="3EA462D9" w14:textId="4370F17A" w:rsidR="006C4DBE" w:rsidRDefault="006C4DBE" w:rsidP="00043B37">
      <w:pPr>
        <w:widowControl/>
        <w:ind w:right="-334"/>
        <w:jc w:val="left"/>
        <w:rPr>
          <w:rFonts w:ascii="Arial" w:hAnsi="Arial" w:cs="Arial"/>
          <w:color w:val="000000"/>
          <w:sz w:val="24"/>
          <w:szCs w:val="24"/>
        </w:rPr>
      </w:pPr>
      <w:r>
        <w:rPr>
          <w:rFonts w:ascii="Arial" w:hAnsi="Arial" w:cs="Arial"/>
          <w:color w:val="000000"/>
          <w:sz w:val="24"/>
          <w:szCs w:val="24"/>
        </w:rPr>
        <w:br w:type="page"/>
      </w:r>
    </w:p>
    <w:p w14:paraId="5EECBC92" w14:textId="65C5B2DA" w:rsidR="006C4DBE" w:rsidRDefault="00E46EF8" w:rsidP="00043B37">
      <w:pPr>
        <w:ind w:right="-334"/>
        <w:rPr>
          <w:rFonts w:ascii="Arial" w:hAnsi="Arial" w:cs="Arial"/>
          <w:b/>
          <w:bCs/>
          <w:color w:val="000000"/>
          <w:sz w:val="24"/>
          <w:szCs w:val="24"/>
        </w:rPr>
      </w:pPr>
      <w:r>
        <w:rPr>
          <w:noProof/>
        </w:rPr>
        <w:lastRenderedPageBreak/>
        <w:drawing>
          <wp:inline distT="0" distB="0" distL="0" distR="0" wp14:anchorId="2FAEDAB8" wp14:editId="578ED46B">
            <wp:extent cx="5710477" cy="3154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9492"/>
                    <a:stretch/>
                  </pic:blipFill>
                  <pic:spPr bwMode="auto">
                    <a:xfrm>
                      <a:off x="0" y="0"/>
                      <a:ext cx="5716022" cy="3157743"/>
                    </a:xfrm>
                    <a:prstGeom prst="rect">
                      <a:avLst/>
                    </a:prstGeom>
                    <a:noFill/>
                    <a:ln>
                      <a:noFill/>
                    </a:ln>
                    <a:extLst>
                      <a:ext uri="{53640926-AAD7-44D8-BBD7-CCE9431645EC}">
                        <a14:shadowObscured xmlns:a14="http://schemas.microsoft.com/office/drawing/2010/main"/>
                      </a:ext>
                    </a:extLst>
                  </pic:spPr>
                </pic:pic>
              </a:graphicData>
            </a:graphic>
          </wp:inline>
        </w:drawing>
      </w:r>
    </w:p>
    <w:p w14:paraId="348E15D0" w14:textId="49E79997" w:rsidR="007003ED" w:rsidRDefault="007003ED" w:rsidP="00043B37">
      <w:pPr>
        <w:ind w:right="-334"/>
        <w:rPr>
          <w:rFonts w:ascii="Arial" w:hAnsi="Arial" w:cs="Arial"/>
          <w:b/>
          <w:bCs/>
          <w:color w:val="000000"/>
          <w:sz w:val="24"/>
          <w:szCs w:val="24"/>
        </w:rPr>
      </w:pPr>
    </w:p>
    <w:p w14:paraId="63608371" w14:textId="1F52A7C5" w:rsidR="007003ED" w:rsidRDefault="007003ED" w:rsidP="00043B37">
      <w:pPr>
        <w:spacing w:after="120" w:line="264" w:lineRule="auto"/>
        <w:ind w:right="-334"/>
        <w:rPr>
          <w:rFonts w:ascii="Arial" w:hAnsi="Arial" w:cs="Arial"/>
          <w:sz w:val="24"/>
          <w:szCs w:val="24"/>
        </w:rPr>
      </w:pPr>
      <w:r w:rsidRPr="007003ED">
        <w:rPr>
          <w:rFonts w:ascii="Arial" w:hAnsi="Arial" w:cs="Arial"/>
          <w:b/>
          <w:sz w:val="24"/>
          <w:szCs w:val="24"/>
        </w:rPr>
        <w:t>Fig. S1. Beam paths of a system combining two-photon printing and OCT imaging. a</w:t>
      </w:r>
      <w:r w:rsidRPr="007003ED">
        <w:rPr>
          <w:rFonts w:ascii="Arial" w:hAnsi="Arial" w:cs="Arial"/>
          <w:sz w:val="24"/>
          <w:szCs w:val="24"/>
        </w:rPr>
        <w:t xml:space="preserve"> Common path,</w:t>
      </w:r>
      <w:r w:rsidRPr="007003ED">
        <w:rPr>
          <w:rFonts w:ascii="Arial" w:hAnsi="Arial" w:cs="Arial"/>
          <w:i/>
          <w:sz w:val="24"/>
          <w:szCs w:val="24"/>
        </w:rPr>
        <w:t xml:space="preserve"> i.e.</w:t>
      </w:r>
      <w:r w:rsidRPr="007003ED">
        <w:rPr>
          <w:rFonts w:ascii="Arial" w:hAnsi="Arial" w:cs="Arial"/>
          <w:sz w:val="24"/>
          <w:szCs w:val="24"/>
        </w:rPr>
        <w:t xml:space="preserve">, the printing laser and the OCT light beam impinge onto the specimen </w:t>
      </w:r>
      <w:r w:rsidR="00B23656">
        <w:rPr>
          <w:rFonts w:ascii="Arial" w:hAnsi="Arial" w:cs="Arial"/>
          <w:sz w:val="24"/>
          <w:szCs w:val="24"/>
        </w:rPr>
        <w:t>along</w:t>
      </w:r>
      <w:r w:rsidRPr="007003ED">
        <w:rPr>
          <w:rFonts w:ascii="Arial" w:hAnsi="Arial" w:cs="Arial"/>
          <w:sz w:val="24"/>
          <w:szCs w:val="24"/>
        </w:rPr>
        <w:t xml:space="preserve"> the same optical axis and through the same microscope objective lens. (Sub: substrate; PR: photoresist; L: lens; GX, GY: galvo mirrors; SM: switchable mirror) </w:t>
      </w:r>
      <w:r w:rsidRPr="007003ED">
        <w:rPr>
          <w:rFonts w:ascii="Arial" w:hAnsi="Arial" w:cs="Arial"/>
          <w:b/>
          <w:sz w:val="24"/>
          <w:szCs w:val="24"/>
        </w:rPr>
        <w:t>b</w:t>
      </w:r>
      <w:r w:rsidRPr="007003ED">
        <w:rPr>
          <w:rFonts w:ascii="Arial" w:hAnsi="Arial" w:cs="Arial"/>
          <w:sz w:val="24"/>
          <w:szCs w:val="24"/>
        </w:rPr>
        <w:t xml:space="preserve"> The two beams impinge from opposite directions and through two different microscope objective lenses. (Obj: objective; Imm: immersion oil; Sub: substrate; PR: photoresist)</w:t>
      </w:r>
    </w:p>
    <w:p w14:paraId="47E66BC4" w14:textId="6DC12647" w:rsidR="007003ED" w:rsidRDefault="007003ED" w:rsidP="00043B37">
      <w:pPr>
        <w:widowControl/>
        <w:ind w:right="-334"/>
        <w:jc w:val="left"/>
        <w:rPr>
          <w:rFonts w:ascii="Arial" w:hAnsi="Arial" w:cs="Arial"/>
          <w:sz w:val="24"/>
          <w:szCs w:val="24"/>
        </w:rPr>
      </w:pPr>
      <w:r>
        <w:rPr>
          <w:rFonts w:ascii="Arial" w:hAnsi="Arial" w:cs="Arial"/>
          <w:sz w:val="24"/>
          <w:szCs w:val="24"/>
        </w:rPr>
        <w:br w:type="page"/>
      </w:r>
    </w:p>
    <w:p w14:paraId="77A909A0" w14:textId="36069027" w:rsidR="00043B37" w:rsidRPr="00043B37" w:rsidRDefault="00043B37" w:rsidP="00043B37">
      <w:pPr>
        <w:ind w:right="-334"/>
        <w:rPr>
          <w:rFonts w:ascii="Arial" w:hAnsi="Arial" w:cs="Arial"/>
          <w:sz w:val="24"/>
          <w:szCs w:val="24"/>
        </w:rPr>
      </w:pPr>
      <w:bookmarkStart w:id="1" w:name="_Hlk101802985"/>
      <w:r w:rsidRPr="00043B37">
        <w:rPr>
          <w:rFonts w:ascii="Arial" w:hAnsi="Arial" w:cs="Arial"/>
          <w:sz w:val="24"/>
          <w:szCs w:val="24"/>
        </w:rPr>
        <w:lastRenderedPageBreak/>
        <w:t xml:space="preserve">To investigate the role of slicing distance for Bragg back-scattering, we perform transfer-matrix calculations of the reflectivity caused by a small periodic change of the refractive index in the </w:t>
      </w:r>
      <w:r w:rsidRPr="00043B37">
        <w:rPr>
          <w:rFonts w:ascii="Arial" w:hAnsi="Arial" w:cs="Arial"/>
          <w:i/>
          <w:iCs/>
          <w:sz w:val="24"/>
          <w:szCs w:val="24"/>
        </w:rPr>
        <w:t>z</w:t>
      </w:r>
      <w:r w:rsidRPr="00043B37">
        <w:rPr>
          <w:rFonts w:ascii="Arial" w:hAnsi="Arial" w:cs="Arial"/>
          <w:sz w:val="24"/>
          <w:szCs w:val="24"/>
        </w:rPr>
        <w:t>-direction. For the uni-hatching case, we model the refractive index profile as a single sinusoid (black curve, Figure S2</w:t>
      </w:r>
      <w:r w:rsidRPr="00043B37">
        <w:rPr>
          <w:rFonts w:ascii="Arial" w:hAnsi="Arial" w:cs="Arial"/>
          <w:b/>
          <w:bCs/>
          <w:sz w:val="24"/>
          <w:szCs w:val="24"/>
        </w:rPr>
        <w:t>a</w:t>
      </w:r>
      <w:r w:rsidRPr="00043B37">
        <w:rPr>
          <w:rFonts w:ascii="Arial" w:hAnsi="Arial" w:cs="Arial"/>
          <w:sz w:val="24"/>
          <w:szCs w:val="24"/>
        </w:rPr>
        <w:t xml:space="preserve">), so that the period of the function corresponds to a slicing distance with a refractive-index amplitude </w:t>
      </w:r>
      <w:r w:rsidRPr="00043B37">
        <w:rPr>
          <w:rFonts w:ascii="Arial" w:hAnsi="Arial" w:cs="Arial"/>
          <w:i/>
          <w:iCs/>
          <w:sz w:val="24"/>
          <w:szCs w:val="24"/>
        </w:rPr>
        <w:t>Δn</w:t>
      </w:r>
      <w:r w:rsidRPr="00043B37">
        <w:rPr>
          <w:rFonts w:ascii="Arial" w:hAnsi="Arial" w:cs="Arial"/>
          <w:sz w:val="24"/>
          <w:szCs w:val="24"/>
          <w:vertAlign w:val="subscript"/>
        </w:rPr>
        <w:t>amp</w:t>
      </w:r>
      <w:r w:rsidRPr="00043B37">
        <w:rPr>
          <w:rFonts w:ascii="Arial" w:hAnsi="Arial" w:cs="Arial"/>
          <w:i/>
          <w:iCs/>
          <w:sz w:val="24"/>
          <w:szCs w:val="24"/>
        </w:rPr>
        <w:t xml:space="preserve"> </w:t>
      </w:r>
      <w:r w:rsidRPr="00972AEE">
        <w:rPr>
          <w:rFonts w:ascii="Arial" w:hAnsi="Arial" w:cs="Arial"/>
          <w:sz w:val="24"/>
          <w:szCs w:val="24"/>
        </w:rPr>
        <w:t>=</w:t>
      </w:r>
      <w:r w:rsidRPr="00043B37">
        <w:rPr>
          <w:rFonts w:ascii="Arial" w:hAnsi="Arial" w:cs="Arial"/>
          <w:i/>
          <w:iCs/>
          <w:sz w:val="24"/>
          <w:szCs w:val="24"/>
        </w:rPr>
        <w:t xml:space="preserve"> </w:t>
      </w:r>
      <w:r w:rsidRPr="00972AEE">
        <w:rPr>
          <w:rFonts w:ascii="Arial" w:hAnsi="Arial" w:cs="Arial"/>
          <w:sz w:val="24"/>
          <w:szCs w:val="24"/>
        </w:rPr>
        <w:t>10</w:t>
      </w:r>
      <w:r w:rsidRPr="00972AEE">
        <w:rPr>
          <w:rFonts w:ascii="Arial" w:hAnsi="Arial" w:cs="Arial"/>
          <w:sz w:val="24"/>
          <w:szCs w:val="24"/>
          <w:vertAlign w:val="superscript"/>
        </w:rPr>
        <w:t>-3</w:t>
      </w:r>
      <w:r w:rsidRPr="00043B37">
        <w:rPr>
          <w:rFonts w:ascii="Arial" w:hAnsi="Arial" w:cs="Arial"/>
          <w:i/>
          <w:iCs/>
          <w:sz w:val="24"/>
          <w:szCs w:val="24"/>
        </w:rPr>
        <w:t xml:space="preserve"> </w:t>
      </w:r>
      <w:r w:rsidRPr="00043B37">
        <w:rPr>
          <w:rFonts w:ascii="Arial" w:hAnsi="Arial" w:cs="Arial"/>
          <w:sz w:val="24"/>
          <w:szCs w:val="24"/>
        </w:rPr>
        <w:t xml:space="preserve">and its central value </w:t>
      </w:r>
      <w:r w:rsidRPr="00043B37">
        <w:rPr>
          <w:rFonts w:ascii="Arial" w:hAnsi="Arial" w:cs="Arial"/>
          <w:i/>
          <w:sz w:val="24"/>
          <w:szCs w:val="24"/>
        </w:rPr>
        <w:t>n</w:t>
      </w:r>
      <w:r w:rsidRPr="00043B37">
        <w:rPr>
          <w:rFonts w:ascii="Arial" w:hAnsi="Arial" w:cs="Arial"/>
          <w:sz w:val="24"/>
          <w:szCs w:val="24"/>
          <w:vertAlign w:val="subscript"/>
        </w:rPr>
        <w:t>0</w:t>
      </w:r>
      <w:r w:rsidRPr="00043B37">
        <w:rPr>
          <w:rFonts w:ascii="Arial" w:hAnsi="Arial" w:cs="Arial"/>
          <w:sz w:val="24"/>
          <w:szCs w:val="24"/>
        </w:rPr>
        <w:t xml:space="preserve"> = </w:t>
      </w:r>
      <w:r w:rsidRPr="00043B37">
        <w:rPr>
          <w:rFonts w:ascii="Arial" w:hAnsi="Arial" w:cs="Arial"/>
          <w:i/>
          <w:sz w:val="24"/>
          <w:szCs w:val="24"/>
        </w:rPr>
        <w:t>n</w:t>
      </w:r>
      <w:r w:rsidRPr="00043B37">
        <w:rPr>
          <w:rFonts w:ascii="Arial" w:hAnsi="Arial" w:cs="Arial"/>
          <w:sz w:val="24"/>
          <w:szCs w:val="24"/>
          <w:vertAlign w:val="subscript"/>
        </w:rPr>
        <w:t>pol</w:t>
      </w:r>
      <w:r w:rsidRPr="00043B37">
        <w:rPr>
          <w:rFonts w:ascii="Arial" w:hAnsi="Arial" w:cs="Arial"/>
          <w:sz w:val="24"/>
          <w:szCs w:val="24"/>
        </w:rPr>
        <w:t xml:space="preserve"> = 1.545. To mimic an additional refractive index “inhomogeneity” (originating, for example, from cross-hatching), we use the sum of two sinusoids resulting in an amplitude deviation on a scale of </w:t>
      </w:r>
      <w:r w:rsidRPr="00043B37">
        <w:rPr>
          <w:rFonts w:ascii="Arial" w:hAnsi="Arial" w:cs="Arial"/>
          <w:i/>
          <w:iCs/>
          <w:sz w:val="24"/>
          <w:szCs w:val="24"/>
        </w:rPr>
        <w:t>Δn</w:t>
      </w:r>
      <w:r w:rsidRPr="00043B37">
        <w:rPr>
          <w:rFonts w:ascii="Arial" w:hAnsi="Arial" w:cs="Arial"/>
          <w:sz w:val="24"/>
          <w:szCs w:val="24"/>
          <w:vertAlign w:val="subscript"/>
        </w:rPr>
        <w:t>dev</w:t>
      </w:r>
      <w:r w:rsidRPr="00043B37">
        <w:rPr>
          <w:rFonts w:ascii="Arial" w:hAnsi="Arial" w:cs="Arial"/>
          <w:i/>
          <w:iCs/>
          <w:sz w:val="24"/>
          <w:szCs w:val="24"/>
        </w:rPr>
        <w:t xml:space="preserve"> </w:t>
      </w:r>
      <w:r w:rsidRPr="00972AEE">
        <w:rPr>
          <w:rFonts w:ascii="Arial" w:hAnsi="Arial" w:cs="Arial"/>
          <w:sz w:val="24"/>
          <w:szCs w:val="24"/>
        </w:rPr>
        <w:t>≈ 10</w:t>
      </w:r>
      <w:r w:rsidRPr="00972AEE">
        <w:rPr>
          <w:rFonts w:ascii="Arial" w:hAnsi="Arial" w:cs="Arial"/>
          <w:sz w:val="24"/>
          <w:szCs w:val="24"/>
          <w:vertAlign w:val="superscript"/>
        </w:rPr>
        <w:t>-4</w:t>
      </w:r>
      <w:r w:rsidRPr="00043B37">
        <w:rPr>
          <w:rFonts w:ascii="Arial" w:hAnsi="Arial" w:cs="Arial"/>
          <w:i/>
          <w:iCs/>
          <w:sz w:val="24"/>
          <w:szCs w:val="24"/>
        </w:rPr>
        <w:t xml:space="preserve"> </w:t>
      </w:r>
      <w:r w:rsidRPr="00043B37">
        <w:rPr>
          <w:rFonts w:ascii="Arial" w:hAnsi="Arial" w:cs="Arial"/>
          <w:sz w:val="24"/>
          <w:szCs w:val="24"/>
        </w:rPr>
        <w:t>(red curve, Figure S2</w:t>
      </w:r>
      <w:r w:rsidRPr="00043B37">
        <w:rPr>
          <w:rFonts w:ascii="Arial" w:hAnsi="Arial" w:cs="Arial"/>
          <w:b/>
          <w:bCs/>
          <w:sz w:val="24"/>
          <w:szCs w:val="24"/>
        </w:rPr>
        <w:t>a</w:t>
      </w:r>
      <w:r w:rsidRPr="00043B37">
        <w:rPr>
          <w:rFonts w:ascii="Arial" w:hAnsi="Arial" w:cs="Arial"/>
          <w:sz w:val="24"/>
          <w:szCs w:val="24"/>
        </w:rPr>
        <w:t>). The wavelength and slicing distance distribution of the calculated reflectivity for the single sinusoid are shown in Figure S2</w:t>
      </w:r>
      <w:r w:rsidRPr="00043B37">
        <w:rPr>
          <w:rFonts w:ascii="Arial" w:hAnsi="Arial" w:cs="Arial"/>
          <w:b/>
          <w:bCs/>
          <w:sz w:val="24"/>
          <w:szCs w:val="24"/>
        </w:rPr>
        <w:t>b.</w:t>
      </w:r>
      <w:r w:rsidRPr="00043B37">
        <w:rPr>
          <w:rFonts w:ascii="Arial" w:hAnsi="Arial" w:cs="Arial"/>
          <w:sz w:val="24"/>
          <w:szCs w:val="24"/>
        </w:rPr>
        <w:t xml:space="preserve">  The wavelength-averaged reflectivity for this case (Figure S2</w:t>
      </w:r>
      <w:r w:rsidRPr="00043B37">
        <w:rPr>
          <w:rFonts w:ascii="Arial" w:hAnsi="Arial" w:cs="Arial"/>
          <w:b/>
          <w:bCs/>
          <w:sz w:val="24"/>
          <w:szCs w:val="24"/>
        </w:rPr>
        <w:t>c</w:t>
      </w:r>
      <w:r w:rsidRPr="00043B37">
        <w:rPr>
          <w:rFonts w:ascii="Arial" w:hAnsi="Arial" w:cs="Arial"/>
          <w:sz w:val="24"/>
          <w:szCs w:val="24"/>
        </w:rPr>
        <w:t>) shows the peak at 280 nm slicing distance, which corresponds to the central Bragg wavelength of the SLD. The wavelength and slicing distribution of the calculated reflectivity for the case of additional refractive-index deviation is presented in Figure S2</w:t>
      </w:r>
      <w:r w:rsidRPr="00043B37">
        <w:rPr>
          <w:rFonts w:ascii="Arial" w:hAnsi="Arial" w:cs="Arial"/>
          <w:b/>
          <w:bCs/>
          <w:sz w:val="24"/>
          <w:szCs w:val="24"/>
        </w:rPr>
        <w:t xml:space="preserve">d. </w:t>
      </w:r>
      <w:r w:rsidRPr="00043B37">
        <w:rPr>
          <w:rFonts w:ascii="Arial" w:hAnsi="Arial" w:cs="Arial"/>
          <w:sz w:val="24"/>
          <w:szCs w:val="24"/>
        </w:rPr>
        <w:t xml:space="preserve">After averaging over wavelengths, the total reflectivity has an additional peak at 140 nm of slicing distance which originates from the model refractive-index inhomogeneity. The absolute values of the calculated reflectivity for the slicing distances of 140 nm and 280 nm are consistent with the experimental values in Figure 12. Thus, the model amplitude and deviation of the refractive index are rough estimations of the real refractive-index distribution resulting from sample slicing and cross-hatching, respectively. We </w:t>
      </w:r>
      <w:r w:rsidR="00372FE3">
        <w:rPr>
          <w:rFonts w:ascii="Arial" w:hAnsi="Arial" w:cs="Arial"/>
          <w:sz w:val="24"/>
          <w:szCs w:val="24"/>
        </w:rPr>
        <w:t>would</w:t>
      </w:r>
      <w:r w:rsidRPr="00043B37">
        <w:rPr>
          <w:rFonts w:ascii="Arial" w:hAnsi="Arial" w:cs="Arial"/>
          <w:sz w:val="24"/>
          <w:szCs w:val="24"/>
        </w:rPr>
        <w:t xml:space="preserve"> also like to note that the actual 3D refractive-index distribution of a printed structure has a much more complex behavior. To accurately calculate the Bragg scattering and explain the high contrast of all structures in Figure 12, one should also take into account the voxel size, proximity effect and dose accumulation. Such calculations are way beyond the scope of the present </w:t>
      </w:r>
      <w:r w:rsidR="00372FE3">
        <w:rPr>
          <w:rFonts w:ascii="Arial" w:hAnsi="Arial" w:cs="Arial"/>
          <w:sz w:val="24"/>
          <w:szCs w:val="24"/>
        </w:rPr>
        <w:t>study</w:t>
      </w:r>
      <w:r w:rsidRPr="00043B37">
        <w:rPr>
          <w:rFonts w:ascii="Arial" w:hAnsi="Arial" w:cs="Arial"/>
          <w:sz w:val="24"/>
          <w:szCs w:val="24"/>
        </w:rPr>
        <w:t xml:space="preserve">.      </w:t>
      </w:r>
    </w:p>
    <w:bookmarkEnd w:id="1"/>
    <w:p w14:paraId="0267B099" w14:textId="7C118EFA" w:rsidR="00043B37" w:rsidRDefault="00E46EF8" w:rsidP="00043B37">
      <w:pPr>
        <w:ind w:right="-334"/>
        <w:rPr>
          <w:rFonts w:ascii="Arial" w:hAnsi="Arial" w:cs="Arial"/>
          <w:sz w:val="24"/>
          <w:szCs w:val="24"/>
        </w:rPr>
      </w:pPr>
      <w:r>
        <w:rPr>
          <w:noProof/>
        </w:rPr>
        <w:lastRenderedPageBreak/>
        <w:drawing>
          <wp:inline distT="0" distB="0" distL="0" distR="0" wp14:anchorId="1097CBD3" wp14:editId="4C28E292">
            <wp:extent cx="5643617" cy="475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0499" cy="4769104"/>
                    </a:xfrm>
                    <a:prstGeom prst="rect">
                      <a:avLst/>
                    </a:prstGeom>
                    <a:noFill/>
                    <a:ln>
                      <a:noFill/>
                    </a:ln>
                  </pic:spPr>
                </pic:pic>
              </a:graphicData>
            </a:graphic>
          </wp:inline>
        </w:drawing>
      </w:r>
    </w:p>
    <w:p w14:paraId="48A70FCB" w14:textId="77777777" w:rsidR="00E46EF8" w:rsidRPr="00043B37" w:rsidRDefault="00E46EF8" w:rsidP="00043B37">
      <w:pPr>
        <w:ind w:right="-334"/>
        <w:rPr>
          <w:rFonts w:ascii="Arial" w:hAnsi="Arial" w:cs="Arial"/>
          <w:sz w:val="24"/>
          <w:szCs w:val="24"/>
        </w:rPr>
      </w:pPr>
    </w:p>
    <w:p w14:paraId="574D4F71" w14:textId="16F2CFDD" w:rsidR="00043B37" w:rsidRPr="00043B37" w:rsidRDefault="00043B37" w:rsidP="00043B37">
      <w:pPr>
        <w:tabs>
          <w:tab w:val="left" w:pos="1164"/>
        </w:tabs>
        <w:ind w:right="-334"/>
        <w:rPr>
          <w:rFonts w:ascii="Arial" w:hAnsi="Arial" w:cs="Arial"/>
          <w:noProof/>
          <w:sz w:val="24"/>
          <w:szCs w:val="24"/>
        </w:rPr>
      </w:pPr>
      <w:bookmarkStart w:id="2" w:name="_Hlk101803074"/>
      <w:r w:rsidRPr="00043B37">
        <w:rPr>
          <w:rFonts w:ascii="Arial" w:hAnsi="Arial" w:cs="Arial"/>
          <w:b/>
          <w:noProof/>
          <w:sz w:val="24"/>
          <w:szCs w:val="24"/>
        </w:rPr>
        <w:t>Fig. S2. Transfer matrix calculations of Bragg scattering signal. a</w:t>
      </w:r>
      <w:r w:rsidRPr="00043B37">
        <w:rPr>
          <w:rFonts w:ascii="Arial" w:hAnsi="Arial" w:cs="Arial"/>
          <w:noProof/>
          <w:sz w:val="24"/>
          <w:szCs w:val="24"/>
        </w:rPr>
        <w:t xml:space="preserve"> Exemplary refractive index profiles represented by a sinusoidal function (black curve) with a period corresponding to a slicing distance of 500 nm and an amplitude of </w:t>
      </w:r>
      <w:r w:rsidRPr="00043B37">
        <w:rPr>
          <w:rFonts w:ascii="Arial" w:hAnsi="Arial" w:cs="Arial"/>
          <w:i/>
          <w:iCs/>
          <w:noProof/>
          <w:sz w:val="24"/>
          <w:szCs w:val="24"/>
        </w:rPr>
        <w:t>Δn</w:t>
      </w:r>
      <w:r w:rsidRPr="00043B37">
        <w:rPr>
          <w:rFonts w:ascii="Arial" w:hAnsi="Arial" w:cs="Arial"/>
          <w:noProof/>
          <w:sz w:val="24"/>
          <w:szCs w:val="24"/>
          <w:vertAlign w:val="subscript"/>
        </w:rPr>
        <w:t>amp</w:t>
      </w:r>
      <w:r w:rsidRPr="00043B37">
        <w:rPr>
          <w:rFonts w:ascii="Arial" w:hAnsi="Arial" w:cs="Arial"/>
          <w:noProof/>
          <w:sz w:val="24"/>
          <w:szCs w:val="24"/>
        </w:rPr>
        <w:t xml:space="preserve"> = 10</w:t>
      </w:r>
      <w:r w:rsidRPr="00043B37">
        <w:rPr>
          <w:rFonts w:ascii="Arial" w:hAnsi="Arial" w:cs="Arial"/>
          <w:noProof/>
          <w:sz w:val="24"/>
          <w:szCs w:val="24"/>
          <w:vertAlign w:val="superscript"/>
        </w:rPr>
        <w:t>-3</w:t>
      </w:r>
      <w:r w:rsidRPr="00043B37">
        <w:rPr>
          <w:rFonts w:ascii="Arial" w:hAnsi="Arial" w:cs="Arial"/>
          <w:noProof/>
          <w:sz w:val="24"/>
          <w:szCs w:val="24"/>
        </w:rPr>
        <w:t xml:space="preserve"> and a sum of sinusoidal functions (red curve) mimicking an additional “inhomogeneity” of the refractive index. </w:t>
      </w:r>
      <w:r w:rsidRPr="00043B37">
        <w:rPr>
          <w:rFonts w:ascii="Arial" w:hAnsi="Arial" w:cs="Arial"/>
          <w:b/>
          <w:bCs/>
          <w:noProof/>
          <w:sz w:val="24"/>
          <w:szCs w:val="24"/>
        </w:rPr>
        <w:t>b</w:t>
      </w:r>
      <w:r w:rsidRPr="00043B37">
        <w:rPr>
          <w:rFonts w:ascii="Arial" w:hAnsi="Arial" w:cs="Arial"/>
          <w:noProof/>
          <w:sz w:val="24"/>
          <w:szCs w:val="24"/>
        </w:rPr>
        <w:t xml:space="preserve"> Reflectivity versus SLD wavelength </w:t>
      </w:r>
      <w:r w:rsidRPr="00D7613C">
        <w:rPr>
          <w:rFonts w:ascii="Arial" w:hAnsi="Arial" w:cs="Arial"/>
          <w:i/>
          <w:iCs/>
          <w:noProof/>
          <w:sz w:val="24"/>
          <w:szCs w:val="24"/>
        </w:rPr>
        <w:t>λ</w:t>
      </w:r>
      <w:r w:rsidRPr="00043B37">
        <w:rPr>
          <w:rFonts w:ascii="Arial" w:hAnsi="Arial" w:cs="Arial"/>
          <w:noProof/>
          <w:sz w:val="24"/>
          <w:szCs w:val="24"/>
        </w:rPr>
        <w:t xml:space="preserve"> and slicing distance calculated for a single sinusoid</w:t>
      </w:r>
      <w:r w:rsidR="00D7613C">
        <w:rPr>
          <w:rFonts w:ascii="Arial" w:hAnsi="Arial" w:cs="Arial"/>
          <w:noProof/>
          <w:sz w:val="24"/>
          <w:szCs w:val="24"/>
        </w:rPr>
        <w:t>.</w:t>
      </w:r>
      <w:r w:rsidRPr="00043B37">
        <w:rPr>
          <w:rFonts w:ascii="Arial" w:hAnsi="Arial" w:cs="Arial"/>
          <w:noProof/>
          <w:sz w:val="24"/>
          <w:szCs w:val="24"/>
        </w:rPr>
        <w:t xml:space="preserve"> </w:t>
      </w:r>
      <w:r w:rsidRPr="00043B37">
        <w:rPr>
          <w:rFonts w:ascii="Arial" w:hAnsi="Arial" w:cs="Arial"/>
          <w:b/>
          <w:bCs/>
          <w:noProof/>
          <w:sz w:val="24"/>
          <w:szCs w:val="24"/>
        </w:rPr>
        <w:t xml:space="preserve">c </w:t>
      </w:r>
      <w:r w:rsidRPr="00043B37">
        <w:rPr>
          <w:rFonts w:ascii="Arial" w:hAnsi="Arial" w:cs="Arial"/>
          <w:noProof/>
          <w:sz w:val="24"/>
          <w:szCs w:val="24"/>
        </w:rPr>
        <w:t xml:space="preserve">Wavelength-averaged reflectivity versus slicing for the single sinusoid. The peak at 280 nm slicing distance corresponds to the Bragg condition for the SLD central wavelength. </w:t>
      </w:r>
      <w:r w:rsidRPr="00043B37">
        <w:rPr>
          <w:rFonts w:ascii="Arial" w:hAnsi="Arial" w:cs="Arial"/>
          <w:b/>
          <w:bCs/>
          <w:noProof/>
          <w:sz w:val="24"/>
          <w:szCs w:val="24"/>
        </w:rPr>
        <w:t xml:space="preserve">d </w:t>
      </w:r>
      <w:r w:rsidRPr="00043B37">
        <w:rPr>
          <w:rFonts w:ascii="Arial" w:hAnsi="Arial" w:cs="Arial"/>
          <w:noProof/>
          <w:sz w:val="24"/>
          <w:szCs w:val="24"/>
        </w:rPr>
        <w:t xml:space="preserve">Reflectivity versus SLD wavelength </w:t>
      </w:r>
      <w:r w:rsidRPr="00D7613C">
        <w:rPr>
          <w:rFonts w:ascii="Arial" w:hAnsi="Arial" w:cs="Arial"/>
          <w:i/>
          <w:iCs/>
          <w:noProof/>
          <w:sz w:val="24"/>
          <w:szCs w:val="24"/>
        </w:rPr>
        <w:t>λ</w:t>
      </w:r>
      <w:r w:rsidRPr="00043B37">
        <w:rPr>
          <w:rFonts w:ascii="Arial" w:hAnsi="Arial" w:cs="Arial"/>
          <w:noProof/>
          <w:sz w:val="24"/>
          <w:szCs w:val="24"/>
        </w:rPr>
        <w:t xml:space="preserve"> and slicing distance calculated for the refractive-index profile with additional inhomogeneities. </w:t>
      </w:r>
      <w:r w:rsidRPr="00043B37">
        <w:rPr>
          <w:rFonts w:ascii="Arial" w:hAnsi="Arial" w:cs="Arial"/>
          <w:b/>
          <w:bCs/>
          <w:noProof/>
          <w:sz w:val="24"/>
          <w:szCs w:val="24"/>
        </w:rPr>
        <w:t xml:space="preserve">e </w:t>
      </w:r>
      <w:r w:rsidRPr="00043B37">
        <w:rPr>
          <w:rFonts w:ascii="Arial" w:hAnsi="Arial" w:cs="Arial"/>
          <w:noProof/>
          <w:sz w:val="24"/>
          <w:szCs w:val="24"/>
        </w:rPr>
        <w:t>Wavelength-averaged reflectivity versus slicing for the sum of sinusoids. An additional peak at 140 nm slicing distance appears due to Bragg back-scattering from the model inhomogeneity of the refractive index.</w:t>
      </w:r>
    </w:p>
    <w:bookmarkEnd w:id="2"/>
    <w:p w14:paraId="2AF81704" w14:textId="0A97C4B4" w:rsidR="00043B37" w:rsidRPr="00043B37" w:rsidRDefault="00043B37" w:rsidP="00043B37">
      <w:pPr>
        <w:tabs>
          <w:tab w:val="left" w:pos="1164"/>
        </w:tabs>
        <w:ind w:right="-334"/>
        <w:rPr>
          <w:rFonts w:ascii="Arial" w:hAnsi="Arial" w:cs="Arial"/>
          <w:sz w:val="24"/>
          <w:szCs w:val="24"/>
        </w:rPr>
      </w:pPr>
      <w:r>
        <w:rPr>
          <w:rFonts w:ascii="Arial" w:hAnsi="Arial" w:cs="Arial"/>
          <w:sz w:val="24"/>
          <w:szCs w:val="24"/>
        </w:rPr>
        <w:tab/>
      </w:r>
    </w:p>
    <w:sectPr w:rsidR="00043B37" w:rsidRPr="00043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F06E" w14:textId="77777777" w:rsidR="00263992" w:rsidRDefault="00263992" w:rsidP="00BB0857">
      <w:r>
        <w:separator/>
      </w:r>
    </w:p>
  </w:endnote>
  <w:endnote w:type="continuationSeparator" w:id="0">
    <w:p w14:paraId="0D96F63C" w14:textId="77777777" w:rsidR="00263992" w:rsidRDefault="00263992" w:rsidP="00BB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2B53" w14:textId="77777777" w:rsidR="00263992" w:rsidRDefault="00263992" w:rsidP="00BB0857">
      <w:r>
        <w:separator/>
      </w:r>
    </w:p>
  </w:footnote>
  <w:footnote w:type="continuationSeparator" w:id="0">
    <w:p w14:paraId="60DC1955" w14:textId="77777777" w:rsidR="00263992" w:rsidRDefault="00263992" w:rsidP="00BB0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D6FBB"/>
    <w:multiLevelType w:val="hybridMultilevel"/>
    <w:tmpl w:val="589231A6"/>
    <w:lvl w:ilvl="0" w:tplc="65828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582B9D"/>
    <w:multiLevelType w:val="hybridMultilevel"/>
    <w:tmpl w:val="3316464C"/>
    <w:lvl w:ilvl="0" w:tplc="BB3443C4">
      <w:start w:val="4"/>
      <w:numFmt w:val="bullet"/>
      <w:lvlText w:val=""/>
      <w:lvlJc w:val="left"/>
      <w:pPr>
        <w:ind w:left="720" w:hanging="360"/>
      </w:pPr>
      <w:rPr>
        <w:rFonts w:ascii="Symbol" w:eastAsiaTheme="minorEastAsia" w:hAnsi="Symbol" w:cs="Cambria Math"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6999633">
    <w:abstractNumId w:val="0"/>
  </w:num>
  <w:num w:numId="2" w16cid:durableId="181266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E9"/>
    <w:rsid w:val="00043B37"/>
    <w:rsid w:val="000D08E5"/>
    <w:rsid w:val="000D53BD"/>
    <w:rsid w:val="001815CE"/>
    <w:rsid w:val="001B24D2"/>
    <w:rsid w:val="001F5D01"/>
    <w:rsid w:val="00263992"/>
    <w:rsid w:val="002B7AF4"/>
    <w:rsid w:val="002E1711"/>
    <w:rsid w:val="00361CE9"/>
    <w:rsid w:val="00372FE3"/>
    <w:rsid w:val="00433FE7"/>
    <w:rsid w:val="004E76C1"/>
    <w:rsid w:val="005832D8"/>
    <w:rsid w:val="005A4D3B"/>
    <w:rsid w:val="006C4DBE"/>
    <w:rsid w:val="007003ED"/>
    <w:rsid w:val="007020F8"/>
    <w:rsid w:val="00774889"/>
    <w:rsid w:val="007D625D"/>
    <w:rsid w:val="007E2464"/>
    <w:rsid w:val="00891BAB"/>
    <w:rsid w:val="00925943"/>
    <w:rsid w:val="00972AEE"/>
    <w:rsid w:val="009958AA"/>
    <w:rsid w:val="009A2FFC"/>
    <w:rsid w:val="00B15E69"/>
    <w:rsid w:val="00B23656"/>
    <w:rsid w:val="00BB0857"/>
    <w:rsid w:val="00CE4C18"/>
    <w:rsid w:val="00D7613C"/>
    <w:rsid w:val="00DD7242"/>
    <w:rsid w:val="00E4341D"/>
    <w:rsid w:val="00E46EF8"/>
    <w:rsid w:val="00F01253"/>
    <w:rsid w:val="00F56700"/>
    <w:rsid w:val="00F95315"/>
    <w:rsid w:val="00FA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1E7E32"/>
  <w14:defaultImageDpi w14:val="32767"/>
  <w15:chartTrackingRefBased/>
  <w15:docId w15:val="{9CF4C8C5-19BB-46BC-BBE6-5CAF4423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E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33FE7"/>
    <w:rPr>
      <w:rFonts w:ascii="Times New Roman" w:hAnsi="Times New Roman" w:cs="Times New Roman" w:hint="default"/>
      <w:b w:val="0"/>
      <w:bCs w:val="0"/>
      <w:i w:val="0"/>
      <w:iCs w:val="0"/>
      <w:color w:val="000000"/>
      <w:sz w:val="36"/>
      <w:szCs w:val="36"/>
    </w:rPr>
  </w:style>
  <w:style w:type="character" w:styleId="Hyperlink">
    <w:name w:val="Hyperlink"/>
    <w:basedOn w:val="DefaultParagraphFont"/>
    <w:uiPriority w:val="99"/>
    <w:unhideWhenUsed/>
    <w:rsid w:val="000D08E5"/>
    <w:rPr>
      <w:color w:val="0563C1" w:themeColor="hyperlink"/>
      <w:u w:val="single"/>
    </w:rPr>
  </w:style>
  <w:style w:type="paragraph" w:styleId="BodyText">
    <w:name w:val="Body Text"/>
    <w:basedOn w:val="Normal"/>
    <w:link w:val="BodyTextChar"/>
    <w:uiPriority w:val="1"/>
    <w:qFormat/>
    <w:rsid w:val="000D08E5"/>
    <w:pPr>
      <w:ind w:left="113"/>
      <w:jc w:val="left"/>
    </w:pPr>
    <w:rPr>
      <w:rFonts w:ascii="Times New Roman" w:eastAsia="Times New Roman" w:hAnsi="Times New Roman"/>
      <w:kern w:val="0"/>
      <w:sz w:val="19"/>
      <w:szCs w:val="19"/>
      <w:lang w:eastAsia="en-US"/>
    </w:rPr>
  </w:style>
  <w:style w:type="character" w:customStyle="1" w:styleId="BodyTextChar">
    <w:name w:val="Body Text Char"/>
    <w:basedOn w:val="DefaultParagraphFont"/>
    <w:link w:val="BodyText"/>
    <w:uiPriority w:val="1"/>
    <w:rsid w:val="000D08E5"/>
    <w:rPr>
      <w:rFonts w:ascii="Times New Roman" w:eastAsia="Times New Roman" w:hAnsi="Times New Roman"/>
      <w:kern w:val="0"/>
      <w:sz w:val="19"/>
      <w:szCs w:val="19"/>
      <w:lang w:eastAsia="en-US"/>
    </w:rPr>
  </w:style>
  <w:style w:type="paragraph" w:styleId="ListParagraph">
    <w:name w:val="List Paragraph"/>
    <w:basedOn w:val="Normal"/>
    <w:uiPriority w:val="34"/>
    <w:qFormat/>
    <w:rsid w:val="00CE4C18"/>
    <w:pPr>
      <w:ind w:firstLineChars="200" w:firstLine="420"/>
    </w:pPr>
  </w:style>
  <w:style w:type="paragraph" w:styleId="Header">
    <w:name w:val="header"/>
    <w:basedOn w:val="Normal"/>
    <w:link w:val="HeaderChar"/>
    <w:uiPriority w:val="99"/>
    <w:unhideWhenUsed/>
    <w:rsid w:val="00BB08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B0857"/>
    <w:rPr>
      <w:sz w:val="18"/>
      <w:szCs w:val="18"/>
    </w:rPr>
  </w:style>
  <w:style w:type="paragraph" w:styleId="Footer">
    <w:name w:val="footer"/>
    <w:basedOn w:val="Normal"/>
    <w:link w:val="FooterChar"/>
    <w:uiPriority w:val="99"/>
    <w:unhideWhenUsed/>
    <w:rsid w:val="00BB08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B0857"/>
    <w:rPr>
      <w:sz w:val="18"/>
      <w:szCs w:val="18"/>
    </w:rPr>
  </w:style>
  <w:style w:type="character" w:styleId="UnresolvedMention">
    <w:name w:val="Unresolved Mention"/>
    <w:basedOn w:val="DefaultParagraphFont"/>
    <w:uiPriority w:val="99"/>
    <w:semiHidden/>
    <w:unhideWhenUsed/>
    <w:rsid w:val="006C4DBE"/>
    <w:rPr>
      <w:color w:val="605E5C"/>
      <w:shd w:val="clear" w:color="auto" w:fill="E1DFDD"/>
    </w:rPr>
  </w:style>
  <w:style w:type="character" w:styleId="CommentReference">
    <w:name w:val="annotation reference"/>
    <w:basedOn w:val="DefaultParagraphFont"/>
    <w:uiPriority w:val="99"/>
    <w:semiHidden/>
    <w:unhideWhenUsed/>
    <w:rsid w:val="00043B37"/>
    <w:rPr>
      <w:sz w:val="16"/>
      <w:szCs w:val="16"/>
    </w:rPr>
  </w:style>
  <w:style w:type="paragraph" w:styleId="CommentText">
    <w:name w:val="annotation text"/>
    <w:basedOn w:val="Normal"/>
    <w:link w:val="CommentTextChar"/>
    <w:uiPriority w:val="99"/>
    <w:semiHidden/>
    <w:unhideWhenUsed/>
    <w:rsid w:val="00043B37"/>
    <w:pPr>
      <w:widowControl/>
      <w:spacing w:after="160"/>
      <w:jc w:val="left"/>
    </w:pPr>
    <w:rPr>
      <w:rFonts w:eastAsiaTheme="minorHAnsi"/>
      <w:kern w:val="0"/>
      <w:sz w:val="20"/>
      <w:szCs w:val="20"/>
      <w:lang w:val="de-DE" w:eastAsia="en-US"/>
    </w:rPr>
  </w:style>
  <w:style w:type="character" w:customStyle="1" w:styleId="CommentTextChar">
    <w:name w:val="Comment Text Char"/>
    <w:basedOn w:val="DefaultParagraphFont"/>
    <w:link w:val="CommentText"/>
    <w:uiPriority w:val="99"/>
    <w:semiHidden/>
    <w:rsid w:val="00043B37"/>
    <w:rPr>
      <w:rFonts w:eastAsiaTheme="minorHAnsi"/>
      <w:kern w:val="0"/>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wegener@ki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D768-4927-45CA-AF6A-0CADDDE5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dc:creator>
  <cp:keywords/>
  <dc:description/>
  <cp:lastModifiedBy>Zvahelskyi, Roman (APH)</cp:lastModifiedBy>
  <cp:revision>12</cp:revision>
  <cp:lastPrinted>2022-04-25T16:24:00Z</cp:lastPrinted>
  <dcterms:created xsi:type="dcterms:W3CDTF">2022-01-10T06:44:00Z</dcterms:created>
  <dcterms:modified xsi:type="dcterms:W3CDTF">2022-06-13T16:30:00Z</dcterms:modified>
</cp:coreProperties>
</file>